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F6A0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</w:p>
    <w:p w14:paraId="4FB7C2E0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F25C8C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66F44B4D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宜春管理中心袁州养护所新建严岭隧道综合应急仓项目</w:t>
      </w:r>
    </w:p>
    <w:p w14:paraId="4E846C4A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5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1064A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9C191A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4DA12D1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5929B71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348218B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1F8D7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40BBF82E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551D8246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09ACE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39775E5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6AD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6CA2809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04349CF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7081727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A664E1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58C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05DC4189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70AEADDC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0" w:name="_Toc17954"/>
      <w:bookmarkStart w:id="1" w:name="_Toc6076"/>
      <w:bookmarkStart w:id="2" w:name="_Toc32732"/>
      <w:bookmarkStart w:id="3" w:name="_Toc7618"/>
      <w:bookmarkStart w:id="4" w:name="_Toc175651485"/>
      <w:bookmarkStart w:id="5" w:name="_Toc18500"/>
      <w:bookmarkStart w:id="6" w:name="_Toc18293"/>
      <w:bookmarkStart w:id="7" w:name="_Toc167784226"/>
      <w:bookmarkStart w:id="8" w:name="_Toc10647"/>
      <w:bookmarkStart w:id="9" w:name="_Toc8418"/>
      <w:bookmarkStart w:id="10" w:name="_Toc11481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7A015DD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539AFA25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210EB29B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CA0A166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宜春管理中心袁州养护所新建严岭隧道综合应急仓项目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1EB3D8D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542EE3F1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0A220C1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4F8E440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163631F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6661740B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20CDA1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4B22E5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442986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6D912F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2C6DA5AF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0146B188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13533947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7D0D655B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p w14:paraId="221032FF">
      <w:pPr>
        <w:pStyle w:val="2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19DC8857">
      <w:pPr>
        <w:rPr>
          <w:color w:val="auto"/>
        </w:rPr>
      </w:pPr>
    </w:p>
    <w:p w14:paraId="4887B17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21CEB389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2024-12-31T08:45:55Z</dcterms:created>
  <dc:creator>lenovo</dc:creator>
  <cp:lastModifiedBy>张丽琴</cp:lastModifiedBy>
  <dcterms:modified xsi:type="dcterms:W3CDTF">2024-12-31T08:45:58Z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eyJoZGlkIjoiMGRiZjVhNmM0NDhlN2MxMDY4Nzc3ZmFlMzdlZTM0NmEiLCJ1c2VySWQiOiIxNDc4ODM5NDEzIn0=</vt:lpwstr>
  </property>
  <property fmtid="{D5CDD505-2E9C-101B-9397-08002B2CF9AE}" pid="4" name="ICV">
    <vt:lpwstr>246C197669624EDC95E568AEE3E38601_12</vt:lpwstr>
  </property>
</Properties>
</file>